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Yahav Attias Gali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Corporate Resources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28,283</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28,283</w:t>
            </w:r>
            <w:r>
              <w:rPr>
                <w:rFonts w:ascii="Times;serif" w:hAnsi="Times;serif"/>
                <w:color w:val="008000"/>
                <w:position w:val="7"/>
                <w:sz w:val="16"/>
                <w:sz w:val="20"/>
                <w:shd w:fill="FFFFFF" w:val="clear"/>
              </w:rPr>
              <w:t>(2)</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(3)</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39,474</w:t>
            </w:r>
            <w:r>
              <w:rPr>
                <w:rFonts w:ascii="Times;serif" w:hAnsi="Times;serif"/>
                <w:color w:val="008000"/>
                <w:position w:val="7"/>
                <w:sz w:val="16"/>
                <w:sz w:val="20"/>
                <w:shd w:fill="FFFFFF" w:val="clear"/>
              </w:rPr>
              <w:t>(4)</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801"/>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17.63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03/28/2032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05/23/2033</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row consists of the grant by the Issuer's board of directors to the Reporting Person of 28,283 ordinary shares represented by 28,283 restricted share units ("RSUs"), pursuant to the Issuer's 2019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28,283 RSUs reported in this row vest and settle for underlying ordinary shares in four equal semi-annual installments of 25% each following the vesting commencement date of August 13, 2026-- on February 13, 2027, August 13, 2027, February 13, 2028 and August 13, 2028-- subject, in each case, to the Reporting Person's continuous employment by the Issuer as of the applicable vesting date, such that by the two-year anniversary of the vesting commencement date (August 13, 2028), all underlying shares will be issued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by the Issuer on February 5, 2026, of which 50% vest and settle for underlying ordinary shares on the 12-month anniversary of the grant date (February 5, 2027) and the remaining 50% on the 24-month anniversary of the grant date (February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September 30, 2021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reported in this row were granted to the Reporting Person by the Issuer on March 28, 2022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options reported in this row were granted to the Reporting Person by the Issuer on May 23, 2023 and vest and become exercisable in 16 equal quarterly installments of 6.25% each on each three-month anniversary of the grant date, such that all options reported in this row will be exercisable by the four-year anniversary of the grant date (May 23,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57304ex24-1.htm"/>
      <w:bookmarkStart w:id="3" w:name="ksea030857304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the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590"/>
        <w:gridCol w:w="17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Gali Yahav Attias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7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Gali Yahav Attias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071"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1492</Words>
  <Characters>7860</Characters>
  <CharactersWithSpaces>9245</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