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-227330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0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5"/>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-631825</wp:posOffset>
            </wp:positionV>
            <wp:extent cx="58420" cy="645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751840</wp:posOffset>
            </wp:positionV>
            <wp:extent cx="7045960" cy="64058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6405880"/>
                    </a:xfrm>
                    <a:prstGeom prst="rect">
                      <a:avLst/>
                    </a:prstGeom>
                    <a:noFill/>
                  </pic:spPr>
                </pic:pic>
              </a:graphicData>
            </a:graphic>
          </wp:anchor>
        </w:drawing>
      </w:r>
    </w:p>
    <w:p>
      <w:pPr>
        <w:spacing w:after="0" w:line="1249" w:lineRule="exact"/>
        <w:rPr>
          <w:sz w:val="24"/>
          <w:szCs w:val="24"/>
          <w:color w:val="auto"/>
        </w:rPr>
      </w:pPr>
    </w:p>
    <w:p>
      <w:pPr>
        <w:sectPr>
          <w:pgSz w:w="11900" w:h="16838" w:orient="portrait"/>
          <w:cols w:equalWidth="0" w:num="2">
            <w:col w:w="2300" w:space="260"/>
            <w:col w:w="8520"/>
          </w:cols>
          <w:pgMar w:left="460" w:top="216" w:right="359" w:bottom="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Alroy Erez</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right="460"/>
        <w:spacing w:after="0" w:line="284" w:lineRule="auto"/>
        <w:rPr>
          <w:sz w:val="20"/>
          <w:szCs w:val="20"/>
          <w:color w:val="auto"/>
        </w:rPr>
      </w:pPr>
      <w:r>
        <w:rPr>
          <w:rFonts w:ascii="Times New Roman" w:cs="Times New Roman" w:eastAsia="Times New Roman" w:hAnsi="Times New Roman"/>
          <w:sz w:val="17"/>
          <w:szCs w:val="17"/>
          <w:color w:val="0000FF"/>
        </w:rPr>
        <w:t>C/O NANO-X IMAGING LTD., OFER TECH PARK</w:t>
      </w:r>
    </w:p>
    <w:p>
      <w:pPr>
        <w:spacing w:after="0" w:line="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94 SHLOMO SHMELTZER ROAD</w:t>
      </w:r>
    </w:p>
    <w:p>
      <w:pPr>
        <w:spacing w:after="0" w:line="28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PETACH</w:t>
            </w:r>
          </w:p>
        </w:tc>
        <w:tc>
          <w:tcPr>
            <w:tcW w:w="11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L3</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4970602</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9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TIKVA</w:t>
            </w:r>
          </w:p>
        </w:tc>
        <w:tc>
          <w:tcPr>
            <w:tcW w:w="110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1"/>
        </w:trPr>
        <w:tc>
          <w:tcPr>
            <w:tcW w:w="3840" w:type="dxa"/>
            <w:vAlign w:val="bottom"/>
            <w:gridSpan w:val="4"/>
          </w:tcPr>
          <w:p>
            <w:pPr>
              <w:ind w:left="60"/>
              <w:spacing w:after="0" w:line="221"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Nano-X Imaging Ltd.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NNOX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1680" w:type="dxa"/>
            <w:vAlign w:val="bottom"/>
            <w:tcBorders>
              <w:top w:val="single" w:sz="8" w:color="0000EE"/>
            </w:tcBorders>
          </w:tcPr>
          <w:p>
            <w:pPr>
              <w:spacing w:after="0"/>
              <w:rPr>
                <w:sz w:val="13"/>
                <w:szCs w:val="13"/>
                <w:color w:val="auto"/>
              </w:rPr>
            </w:pPr>
          </w:p>
        </w:tc>
        <w:tc>
          <w:tcPr>
            <w:tcW w:w="1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5"/>
        </w:trPr>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196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20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18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06/10/2026</w:t>
            </w:r>
          </w:p>
        </w:tc>
        <w:tc>
          <w:tcPr>
            <w:tcW w:w="1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3"/>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spacing w:after="0"/>
              <w:rPr>
                <w:sz w:val="24"/>
                <w:szCs w:val="24"/>
                <w:color w:val="auto"/>
              </w:rPr>
            </w:pPr>
          </w:p>
        </w:tc>
        <w:tc>
          <w:tcPr>
            <w:tcW w:w="19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696" w:lineRule="exact"/>
        <w:rPr>
          <w:sz w:val="24"/>
          <w:szCs w:val="24"/>
          <w:color w:val="auto"/>
        </w:rPr>
      </w:pPr>
    </w:p>
    <w:p>
      <w:pPr>
        <w:sectPr>
          <w:pgSz w:w="11900" w:h="16838" w:orient="portrait"/>
          <w:cols w:equalWidth="0" w:num="2">
            <w:col w:w="3760" w:space="8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2"/>
                <w:szCs w:val="12"/>
                <w:color w:val="auto"/>
              </w:rPr>
            </w:pPr>
          </w:p>
        </w:tc>
        <w:tc>
          <w:tcPr>
            <w:tcW w:w="17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2"/>
                <w:szCs w:val="12"/>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ind w:left="68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680"/>
              <w:spacing w:after="0" w:line="130"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300"/>
              <w:spacing w:after="0" w:line="130"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4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80"/>
              <w:spacing w:after="0"/>
              <w:rPr>
                <w:sz w:val="20"/>
                <w:szCs w:val="20"/>
                <w:color w:val="auto"/>
              </w:rPr>
            </w:pPr>
            <w:r>
              <w:rPr>
                <w:rFonts w:ascii="Times New Roman" w:cs="Times New Roman" w:eastAsia="Times New Roman" w:hAnsi="Times New Roman"/>
                <w:sz w:val="17"/>
                <w:szCs w:val="17"/>
                <w:color w:val="0000FF"/>
              </w:rPr>
              <w:t>06/10/2026</w:t>
            </w: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209</w:t>
            </w:r>
          </w:p>
        </w:tc>
        <w:tc>
          <w:tcPr>
            <w:tcW w:w="64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tcBorders>
              <w:bottom w:val="single" w:sz="8" w:color="2C2C2C"/>
            </w:tcBorders>
            <w:gridSpan w:val="2"/>
          </w:tcPr>
          <w:p>
            <w:pPr>
              <w:ind w:left="20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1.65</w:t>
            </w:r>
          </w:p>
        </w:tc>
        <w:tc>
          <w:tcPr>
            <w:tcW w:w="1300" w:type="dxa"/>
            <w:vAlign w:val="bottom"/>
            <w:tcBorders>
              <w:bottom w:val="single" w:sz="8" w:color="2C2C2C"/>
            </w:tcBorders>
            <w:gridSpan w:val="3"/>
          </w:tcPr>
          <w:p>
            <w:pPr>
              <w:jc w:val="center"/>
              <w:ind w:right="280"/>
              <w:spacing w:after="0"/>
              <w:rPr>
                <w:sz w:val="20"/>
                <w:szCs w:val="20"/>
                <w:color w:val="auto"/>
              </w:rPr>
            </w:pPr>
            <w:r>
              <w:rPr>
                <w:rFonts w:ascii="Times New Roman" w:cs="Times New Roman" w:eastAsia="Times New Roman" w:hAnsi="Times New Roman"/>
                <w:sz w:val="17"/>
                <w:szCs w:val="17"/>
                <w:color w:val="0000FF"/>
              </w:rPr>
              <w:t>6,753</w:t>
            </w:r>
            <w:r>
              <w:rPr>
                <w:rFonts w:ascii="Times New Roman" w:cs="Times New Roman" w:eastAsia="Times New Roman" w:hAnsi="Times New Roman"/>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80"/>
              <w:spacing w:after="0"/>
              <w:rPr>
                <w:sz w:val="20"/>
                <w:szCs w:val="20"/>
                <w:color w:val="auto"/>
              </w:rPr>
            </w:pPr>
            <w:r>
              <w:rPr>
                <w:rFonts w:ascii="Times New Roman" w:cs="Times New Roman" w:eastAsia="Times New Roman" w:hAnsi="Times New Roman"/>
                <w:sz w:val="17"/>
                <w:szCs w:val="17"/>
                <w:color w:val="0000FF"/>
              </w:rPr>
              <w:t>06/10/2026</w:t>
            </w: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469</w:t>
            </w:r>
          </w:p>
        </w:tc>
        <w:tc>
          <w:tcPr>
            <w:tcW w:w="64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tcBorders>
              <w:bottom w:val="single" w:sz="8" w:color="2C2C2C"/>
            </w:tcBorders>
            <w:gridSpan w:val="2"/>
          </w:tcPr>
          <w:p>
            <w:pPr>
              <w:ind w:left="20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1.65</w:t>
            </w:r>
          </w:p>
        </w:tc>
        <w:tc>
          <w:tcPr>
            <w:tcW w:w="1300" w:type="dxa"/>
            <w:vAlign w:val="bottom"/>
            <w:tcBorders>
              <w:bottom w:val="single" w:sz="8" w:color="2C2C2C"/>
            </w:tcBorders>
            <w:gridSpan w:val="3"/>
          </w:tcPr>
          <w:p>
            <w:pPr>
              <w:jc w:val="center"/>
              <w:ind w:right="240"/>
              <w:spacing w:after="0"/>
              <w:rPr>
                <w:sz w:val="20"/>
                <w:szCs w:val="20"/>
                <w:color w:val="auto"/>
              </w:rPr>
            </w:pPr>
            <w:r>
              <w:rPr>
                <w:rFonts w:ascii="Times New Roman" w:cs="Times New Roman" w:eastAsia="Times New Roman" w:hAnsi="Times New Roman"/>
                <w:sz w:val="17"/>
                <w:szCs w:val="17"/>
                <w:color w:val="0000FF"/>
              </w:rPr>
              <w:t>17,075</w:t>
            </w:r>
            <w:r>
              <w:rPr>
                <w:rFonts w:ascii="Times New Roman" w:cs="Times New Roman" w:eastAsia="Times New Roman" w:hAnsi="Times New Roman"/>
                <w:sz w:val="21"/>
                <w:szCs w:val="21"/>
                <w:color w:val="008000"/>
                <w:vertAlign w:val="superscript"/>
              </w:rPr>
              <w:t>(3)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400" w:type="dxa"/>
            <w:vAlign w:val="bottom"/>
            <w:gridSpan w:val="11"/>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6"/>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20" w:type="dxa"/>
            <w:vAlign w:val="bottom"/>
          </w:tcPr>
          <w:p>
            <w:pPr>
              <w:spacing w:after="0"/>
              <w:rPr>
                <w:sz w:val="11"/>
                <w:szCs w:val="11"/>
                <w:color w:val="auto"/>
              </w:rPr>
            </w:pP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17.63</w:t>
            </w: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12/28/2032</w:t>
            </w:r>
          </w:p>
        </w:tc>
        <w:tc>
          <w:tcPr>
            <w:tcW w:w="640" w:type="dxa"/>
            <w:vAlign w:val="bottom"/>
          </w:tcPr>
          <w:p>
            <w:pPr>
              <w:ind w:left="40"/>
              <w:spacing w:after="0" w:line="143" w:lineRule="exact"/>
              <w:rPr>
                <w:sz w:val="20"/>
                <w:szCs w:val="20"/>
                <w:color w:val="auto"/>
              </w:rPr>
            </w:pPr>
            <w:r>
              <w:rPr>
                <w:rFonts w:ascii="Times New Roman" w:cs="Times New Roman" w:eastAsia="Times New Roman" w:hAnsi="Times New Roman"/>
                <w:sz w:val="13"/>
                <w:szCs w:val="13"/>
                <w:color w:val="0000FF"/>
              </w:rPr>
              <w:t>Ordinary</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50,000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w w:val="94"/>
              </w:rPr>
              <w:t>50,000</w:t>
            </w:r>
          </w:p>
        </w:tc>
        <w:tc>
          <w:tcPr>
            <w:tcW w:w="280" w:type="dxa"/>
            <w:vAlign w:val="bottom"/>
          </w:tcPr>
          <w:p>
            <w:pPr>
              <w:spacing w:after="0"/>
              <w:rPr>
                <w:sz w:val="12"/>
                <w:szCs w:val="12"/>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buy</w:t>
            </w:r>
          </w:p>
        </w:tc>
        <w:tc>
          <w:tcPr>
            <w:tcW w:w="78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4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Shares</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ordinary</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00" w:type="dxa"/>
            <w:vAlign w:val="bottom"/>
            <w:tcBorders>
              <w:bottom w:val="single" w:sz="8" w:color="2C2C2C"/>
            </w:tcBorders>
          </w:tcPr>
          <w:p>
            <w:pPr>
              <w:ind w:left="60"/>
              <w:spacing w:after="0" w:line="239" w:lineRule="exact"/>
              <w:rPr>
                <w:sz w:val="20"/>
                <w:szCs w:val="20"/>
                <w:color w:val="auto"/>
              </w:rPr>
            </w:pPr>
            <w:r>
              <w:rPr>
                <w:rFonts w:ascii="Times New Roman" w:cs="Times New Roman" w:eastAsia="Times New Roman" w:hAnsi="Times New Roman"/>
                <w:sz w:val="13"/>
                <w:szCs w:val="13"/>
                <w:color w:val="0000FF"/>
              </w:rPr>
              <w:t>shares)</w:t>
            </w:r>
            <w:r>
              <w:rPr>
                <w:rFonts w:ascii="Times New Roman" w:cs="Times New Roman" w:eastAsia="Times New Roman" w:hAnsi="Times New Roman"/>
                <w:sz w:val="21"/>
                <w:szCs w:val="21"/>
                <w:color w:val="008000"/>
                <w:vertAlign w:val="superscript"/>
              </w:rPr>
              <w:t>(4)</w:t>
            </w:r>
          </w:p>
        </w:tc>
        <w:tc>
          <w:tcPr>
            <w:tcW w:w="780" w:type="dxa"/>
            <w:vAlign w:val="bottom"/>
            <w:tcBorders>
              <w:bottom w:val="single" w:sz="8" w:color="2C2C2C"/>
            </w:tcBorders>
          </w:tcPr>
          <w:p>
            <w:pPr>
              <w:spacing w:after="0"/>
              <w:rPr>
                <w:sz w:val="21"/>
                <w:szCs w:val="21"/>
                <w:color w:val="auto"/>
              </w:rPr>
            </w:pPr>
          </w:p>
        </w:tc>
        <w:tc>
          <w:tcPr>
            <w:tcW w:w="1100" w:type="dxa"/>
            <w:vAlign w:val="bottom"/>
            <w:tcBorders>
              <w:bottom w:val="single" w:sz="8" w:color="2C2C2C"/>
            </w:tcBorders>
          </w:tcPr>
          <w:p>
            <w:pPr>
              <w:spacing w:after="0"/>
              <w:rPr>
                <w:sz w:val="21"/>
                <w:szCs w:val="21"/>
                <w:color w:val="auto"/>
              </w:rPr>
            </w:pPr>
          </w:p>
        </w:tc>
        <w:tc>
          <w:tcPr>
            <w:tcW w:w="108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52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11.52</w:t>
            </w: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(6)</w:t>
            </w:r>
          </w:p>
        </w:tc>
        <w:tc>
          <w:tcPr>
            <w:tcW w:w="72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12/31/2033</w:t>
            </w:r>
          </w:p>
        </w:tc>
        <w:tc>
          <w:tcPr>
            <w:tcW w:w="640" w:type="dxa"/>
            <w:vAlign w:val="bottom"/>
          </w:tcPr>
          <w:p>
            <w:pPr>
              <w:ind w:left="40"/>
              <w:spacing w:after="0" w:line="143" w:lineRule="exact"/>
              <w:rPr>
                <w:sz w:val="20"/>
                <w:szCs w:val="20"/>
                <w:color w:val="auto"/>
              </w:rPr>
            </w:pPr>
            <w:r>
              <w:rPr>
                <w:rFonts w:ascii="Times New Roman" w:cs="Times New Roman" w:eastAsia="Times New Roman" w:hAnsi="Times New Roman"/>
                <w:sz w:val="13"/>
                <w:szCs w:val="13"/>
                <w:color w:val="0000FF"/>
              </w:rPr>
              <w:t>Ordinary</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10,000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w w:val="94"/>
              </w:rPr>
              <w:t>10,000</w:t>
            </w:r>
          </w:p>
        </w:tc>
        <w:tc>
          <w:tcPr>
            <w:tcW w:w="280" w:type="dxa"/>
            <w:vAlign w:val="bottom"/>
          </w:tcPr>
          <w:p>
            <w:pPr>
              <w:spacing w:after="0"/>
              <w:rPr>
                <w:sz w:val="12"/>
                <w:szCs w:val="12"/>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vMerge w:val="continue"/>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Shares</w:t>
            </w:r>
          </w:p>
        </w:tc>
        <w:tc>
          <w:tcPr>
            <w:tcW w:w="5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ordinary</w:t>
      </w:r>
    </w:p>
    <w:p>
      <w:pPr>
        <w:ind w:left="80"/>
        <w:spacing w:after="0" w:line="210" w:lineRule="auto"/>
        <w:rPr>
          <w:sz w:val="20"/>
          <w:szCs w:val="20"/>
          <w:color w:val="auto"/>
        </w:rPr>
      </w:pPr>
      <w:r>
        <w:rPr>
          <w:rFonts w:ascii="Times New Roman" w:cs="Times New Roman" w:eastAsia="Times New Roman" w:hAnsi="Times New Roman"/>
          <w:sz w:val="13"/>
          <w:szCs w:val="13"/>
          <w:color w:val="0000FF"/>
        </w:rPr>
        <w:t>shares)</w:t>
      </w:r>
      <w:r>
        <w:rPr>
          <w:rFonts w:ascii="Times New Roman" w:cs="Times New Roman" w:eastAsia="Times New Roman" w:hAnsi="Times New Roman"/>
          <w:sz w:val="21"/>
          <w:szCs w:val="21"/>
          <w:color w:val="008000"/>
          <w:vertAlign w:val="superscript"/>
        </w:rPr>
        <w:t>(4)</w:t>
      </w:r>
    </w:p>
    <w:p>
      <w:pPr>
        <w:spacing w:after="0" w:line="5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reported in this row involved the sale of ordinary shares to cover tax liabilities arising from the vesting of restricted share units ("RSUs").</w:t>
      </w:r>
    </w:p>
    <w:p>
      <w:pPr>
        <w:spacing w:after="0" w:line="45" w:lineRule="exact"/>
        <w:rPr>
          <w:rFonts w:ascii="Times New Roman" w:cs="Times New Roman" w:eastAsia="Times New Roman" w:hAnsi="Times New Roman"/>
          <w:sz w:val="13"/>
          <w:szCs w:val="13"/>
          <w:color w:val="008000"/>
        </w:rPr>
      </w:pPr>
    </w:p>
    <w:p>
      <w:pPr>
        <w:ind w:left="40" w:right="160" w:firstLine="3"/>
        <w:spacing w:after="0" w:line="23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ordinary shares reported in this row consist of shares underlying RSUs that were granted to the Reporting Person by the Issuer that began vesting on December 10, 2024. Currently, 6,753 ordinary shares constitute the remainder of the ordinary shares held by, or issuable to, the Reporting Person under the subject grant. The 7,792 RSUs originally granted vest (and settle for underlying ordinary shares) on an equal, quarterly basis over twelve calendar quarters (for 649.33 underlying ordinary shares per quarter) such that all such 7,792 RSUs - reduced by RSUs for which underlying shares have been sold to cover tax liability - will be vested by December 10, 2027.</w:t>
      </w:r>
    </w:p>
    <w:p>
      <w:pPr>
        <w:spacing w:after="0" w:line="29" w:lineRule="exact"/>
        <w:rPr>
          <w:rFonts w:ascii="Times New Roman" w:cs="Times New Roman" w:eastAsia="Times New Roman" w:hAnsi="Times New Roman"/>
          <w:sz w:val="13"/>
          <w:szCs w:val="13"/>
          <w:color w:val="008000"/>
        </w:rPr>
      </w:pPr>
    </w:p>
    <w:p>
      <w:pPr>
        <w:ind w:left="40" w:right="280" w:firstLine="3"/>
        <w:spacing w:after="0" w:line="23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ordinary shares reported in this row consist of shares underlying RSUs that were granted to the Reporting Person by the Issuer that began vesting on December 10, 2025. Currently, 17,075 ordinary shares constitute the remainder of the ordinary shares held by, or issuable to, the Reporting Person under the subject grant. The 17,544 RSUs originally granted vest (and settle for underlying ordinary shares) on an equal, quarterly basis over twelve calendar quarters (for 1,462 underlying ordinary shares per quarter) such that all such 17,544 RSUs - reduced by RSUs for which underlying shares have been sold to cover tax liability - will be vested by December 10, 2028.</w:t>
      </w:r>
    </w:p>
    <w:p>
      <w:pPr>
        <w:spacing w:after="0" w:line="29"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There were no transactions effected in respect of the securities reported in this row, and the holdings in this row are being included for informational purposes only.</w:t>
      </w:r>
    </w:p>
    <w:p>
      <w:pPr>
        <w:spacing w:after="0" w:line="45" w:lineRule="exact"/>
        <w:rPr>
          <w:rFonts w:ascii="Times New Roman" w:cs="Times New Roman" w:eastAsia="Times New Roman" w:hAnsi="Times New Roman"/>
          <w:sz w:val="13"/>
          <w:szCs w:val="13"/>
          <w:color w:val="008000"/>
        </w:rPr>
      </w:pPr>
    </w:p>
    <w:p>
      <w:pPr>
        <w:ind w:left="40" w:right="28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reported in this row were granted to the Reporting Person by the Issuer on December 28, 2022 and vest and become exercisable in 16 equal quarterly installments of 6.25% each on each three-month anniversary of the date of appointment of the Reporting Person to the Issuer's Board of Directors on June 30, 2022, such that all options reported in this row will be exercisable by the four-year anniversary of that appointment date (June 30, 2026).</w:t>
      </w:r>
    </w:p>
    <w:p>
      <w:pPr>
        <w:spacing w:after="0" w:line="25" w:lineRule="exact"/>
        <w:rPr>
          <w:rFonts w:ascii="Times New Roman" w:cs="Times New Roman" w:eastAsia="Times New Roman" w:hAnsi="Times New Roman"/>
          <w:sz w:val="13"/>
          <w:szCs w:val="13"/>
          <w:color w:val="008000"/>
        </w:rPr>
      </w:pPr>
    </w:p>
    <w:p>
      <w:pPr>
        <w:ind w:left="40" w:right="18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reported in this row were granted to the Reporting Person by the Issuer on December 31, 2023 and vest and become exercisable in 16 equal quarterly installments of 6.25% each on each three-month anniversary of the date of approval of the grant by the Issuer's Board of Directors (i.e., August 14, 2023), such that all options reported in this row will be exercisable by the four-year anniversary of that grant approval date (August 14, 2027).</w:t>
      </w:r>
    </w:p>
    <w:p>
      <w:pPr>
        <w:spacing w:after="0" w:line="3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Marina Gofman Feler,</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8"/>
              </w:rPr>
              <w:t>06/15/2026</w:t>
            </w:r>
          </w:p>
        </w:tc>
        <w:tc>
          <w:tcPr>
            <w:tcW w:w="0" w:type="dxa"/>
            <w:vAlign w:val="bottom"/>
          </w:tcPr>
          <w:p>
            <w:pPr>
              <w:spacing w:after="0"/>
              <w:rPr>
                <w:sz w:val="1"/>
                <w:szCs w:val="1"/>
                <w:color w:val="auto"/>
              </w:rPr>
            </w:pPr>
          </w:p>
        </w:tc>
      </w:tr>
      <w:tr>
        <w:trPr>
          <w:trHeight w:val="89"/>
        </w:trPr>
        <w:tc>
          <w:tcPr>
            <w:tcW w:w="1720" w:type="dxa"/>
            <w:vAlign w:val="bottom"/>
            <w:tcBorders>
              <w:top w:val="single" w:sz="8" w:color="auto"/>
              <w:bottom w:val="single" w:sz="8" w:color="auto"/>
            </w:tcBorders>
            <w:gridSpan w:val="2"/>
            <w:vMerge w:val="restart"/>
          </w:tcPr>
          <w:p>
            <w:pPr>
              <w:spacing w:after="0" w:line="189" w:lineRule="exact"/>
              <w:rPr>
                <w:sz w:val="20"/>
                <w:szCs w:val="20"/>
                <w:color w:val="auto"/>
              </w:rPr>
            </w:pPr>
            <w:r>
              <w:rPr>
                <w:rFonts w:ascii="Times New Roman" w:cs="Times New Roman" w:eastAsia="Times New Roman" w:hAnsi="Times New Roman"/>
                <w:sz w:val="17"/>
                <w:szCs w:val="17"/>
                <w:color w:val="0000FF"/>
              </w:rPr>
              <w:t>attorney-in-fact</w:t>
            </w:r>
          </w:p>
        </w:tc>
        <w:tc>
          <w:tcPr>
            <w:tcW w:w="48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720" w:type="dxa"/>
            <w:vAlign w:val="bottom"/>
            <w:gridSpan w:val="2"/>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5" w:lineRule="exact"/>
        <w:rPr>
          <w:sz w:val="24"/>
          <w:szCs w:val="24"/>
          <w:color w:val="auto"/>
        </w:rPr>
      </w:pPr>
    </w:p>
    <w:p>
      <w:pPr>
        <w:sectPr>
          <w:pgSz w:w="11900" w:h="16838" w:orient="portrait"/>
          <w:cols w:equalWidth="0" w:num="1">
            <w:col w:w="11080"/>
          </w:cols>
          <w:pgMar w:left="460" w:top="216" w:right="359" w:bottom="0" w:gutter="0" w:footer="0" w:header="0"/>
          <w:type w:val="continuous"/>
        </w:sect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ectPr>
          <w:pgSz w:w="11900" w:h="16838" w:orient="portrait"/>
          <w:cols w:equalWidth="0" w:num="1">
            <w:col w:w="11080"/>
          </w:cols>
          <w:pgMar w:left="460" w:top="216"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right="2439" w:firstLine="3"/>
        <w:spacing w:after="0" w:line="313" w:lineRule="auto"/>
        <w:tabs>
          <w:tab w:leader="none" w:pos="137"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9959"/>
          </w:cols>
          <w:pgMar w:left="500" w:top="128" w:right="1440"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7"/>
          <w:szCs w:val="17"/>
          <w:b w:val="1"/>
          <w:bCs w:val="1"/>
          <w:color w:val="auto"/>
        </w:rPr>
        <w:t>Exhibit 24.1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2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Know all by these presents, that the undersigned hereby constitutes and appoints Marina Gofman Feler, Chief Legal Officer of Nano-X Imaging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with full power of substitution, signing individually, the undersigned’s true and lawful attorney-in fact and agent to:</w:t>
      </w:r>
    </w:p>
    <w:p>
      <w:pPr>
        <w:spacing w:after="0" w:line="201" w:lineRule="exact"/>
        <w:rPr>
          <w:sz w:val="20"/>
          <w:szCs w:val="20"/>
          <w:color w:val="auto"/>
        </w:rPr>
      </w:pPr>
    </w:p>
    <w:p>
      <w:pPr>
        <w:ind w:right="60" w:firstLine="629"/>
        <w:spacing w:after="0" w:line="269" w:lineRule="auto"/>
        <w:tabs>
          <w:tab w:leader="none" w:pos="798"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Prepare, execute in the undersigned’s name and on the undersigned’s behalf, and submit to the Securities and Exchange Commission (the “</w:t>
      </w:r>
      <w:r>
        <w:rPr>
          <w:rFonts w:ascii="Times New Roman" w:cs="Times New Roman" w:eastAsia="Times New Roman" w:hAnsi="Times New Roman"/>
          <w:sz w:val="17"/>
          <w:szCs w:val="17"/>
          <w:b w:val="1"/>
          <w:bCs w:val="1"/>
          <w:color w:val="auto"/>
        </w:rPr>
        <w:t>SEC</w:t>
      </w:r>
      <w:r>
        <w:rPr>
          <w:rFonts w:ascii="Times New Roman" w:cs="Times New Roman" w:eastAsia="Times New Roman" w:hAnsi="Times New Roman"/>
          <w:sz w:val="17"/>
          <w:szCs w:val="17"/>
          <w:color w:val="auto"/>
        </w:rPr>
        <w:t>”) Forms 3, 4 and 5 (including amendments thereto and joint filing agreements in connection therewith) in accordance with Section 16(a) of the Securities Exchange Act of 1934, as amended and the rules and regulations thereunder (the “</w:t>
      </w:r>
      <w:r>
        <w:rPr>
          <w:rFonts w:ascii="Times New Roman" w:cs="Times New Roman" w:eastAsia="Times New Roman" w:hAnsi="Times New Roman"/>
          <w:sz w:val="17"/>
          <w:szCs w:val="17"/>
          <w:b w:val="1"/>
          <w:bCs w:val="1"/>
          <w:color w:val="auto"/>
        </w:rPr>
        <w:t>Exchange Act</w:t>
      </w:r>
      <w:r>
        <w:rPr>
          <w:rFonts w:ascii="Times New Roman" w:cs="Times New Roman" w:eastAsia="Times New Roman" w:hAnsi="Times New Roman"/>
          <w:sz w:val="17"/>
          <w:szCs w:val="17"/>
          <w:color w:val="auto"/>
        </w:rPr>
        <w:t>”) in the undersigned’s capacity as an officer, director or beneficial owner of more than 10% of a registered class of securities of the Company;</w:t>
      </w:r>
    </w:p>
    <w:p>
      <w:pPr>
        <w:spacing w:after="0" w:line="166" w:lineRule="exact"/>
        <w:rPr>
          <w:rFonts w:ascii="Times New Roman" w:cs="Times New Roman" w:eastAsia="Times New Roman" w:hAnsi="Times New Roman"/>
          <w:sz w:val="17"/>
          <w:szCs w:val="17"/>
          <w:color w:val="auto"/>
        </w:rPr>
      </w:pPr>
    </w:p>
    <w:p>
      <w:pPr>
        <w:ind w:right="240" w:firstLine="629"/>
        <w:spacing w:after="0" w:line="293" w:lineRule="auto"/>
        <w:tabs>
          <w:tab w:leader="none" w:pos="798"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 and perform any and all acts for and on behalf of the undersigned that may be necessary or desirable to execute such Forms 3, 4, or 5, (including any amendments thereto) and timely file such forms with the SEC, and any stock exchange, self-regulatory association or similar authority; and</w:t>
      </w:r>
    </w:p>
    <w:p>
      <w:pPr>
        <w:spacing w:after="0" w:line="147" w:lineRule="exact"/>
        <w:rPr>
          <w:rFonts w:ascii="Times New Roman" w:cs="Times New Roman" w:eastAsia="Times New Roman" w:hAnsi="Times New Roman"/>
          <w:sz w:val="17"/>
          <w:szCs w:val="17"/>
          <w:color w:val="auto"/>
        </w:rPr>
      </w:pPr>
    </w:p>
    <w:p>
      <w:pPr>
        <w:ind w:right="40" w:firstLine="629"/>
        <w:spacing w:after="0" w:line="268" w:lineRule="auto"/>
        <w:tabs>
          <w:tab w:leader="none" w:pos="79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Take any other action of any nature whatsoever in connection with the foregoing that,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68" w:lineRule="exact"/>
        <w:rPr>
          <w:sz w:val="20"/>
          <w:szCs w:val="20"/>
          <w:color w:val="auto"/>
        </w:rPr>
      </w:pPr>
    </w:p>
    <w:p>
      <w:pPr>
        <w:ind w:right="60" w:firstLine="625"/>
        <w:spacing w:after="0" w:line="263" w:lineRule="auto"/>
        <w:rPr>
          <w:sz w:val="20"/>
          <w:szCs w:val="20"/>
          <w:color w:val="auto"/>
        </w:rPr>
      </w:pPr>
      <w:r>
        <w:rPr>
          <w:rFonts w:ascii="Times New Roman" w:cs="Times New Roman" w:eastAsia="Times New Roman" w:hAnsi="Times New Roman"/>
          <w:sz w:val="17"/>
          <w:szCs w:val="17"/>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attorney-in-fact, and his substitutes, in serving in such capacity at the request of the undersigned, is not assuming (nor is the Company assuming) any of the undersigned’s responsibilities to comply with Section 16 of the Exchange Act.</w:t>
      </w:r>
    </w:p>
    <w:p>
      <w:pPr>
        <w:spacing w:after="0" w:line="172" w:lineRule="exact"/>
        <w:rPr>
          <w:sz w:val="20"/>
          <w:szCs w:val="20"/>
          <w:color w:val="auto"/>
        </w:rPr>
      </w:pPr>
    </w:p>
    <w:p>
      <w:pPr>
        <w:ind w:right="160" w:firstLine="625"/>
        <w:spacing w:after="0" w:line="271" w:lineRule="auto"/>
        <w:rPr>
          <w:sz w:val="20"/>
          <w:szCs w:val="20"/>
          <w:color w:val="auto"/>
        </w:rPr>
      </w:pPr>
      <w:r>
        <w:rPr>
          <w:rFonts w:ascii="Times New Roman" w:cs="Times New Roman" w:eastAsia="Times New Roman" w:hAnsi="Times New Roman"/>
          <w:sz w:val="17"/>
          <w:szCs w:val="17"/>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attorney-in-fact or (c) as to any attorney-in-fact individually, until such attorney-in-fact is no longer employed by the Company.</w:t>
      </w:r>
    </w:p>
    <w:p>
      <w:pPr>
        <w:spacing w:after="0" w:line="37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 WITNESS WHEREOF, the undersigned has caused this Power of Attorney to be executed as of this 18th day of March, 2026.</w:t>
      </w:r>
    </w:p>
    <w:p>
      <w:pPr>
        <w:spacing w:after="0" w:line="221" w:lineRule="exact"/>
        <w:rPr>
          <w:sz w:val="20"/>
          <w:szCs w:val="20"/>
          <w:color w:val="auto"/>
        </w:rPr>
      </w:pPr>
    </w:p>
    <w:tbl>
      <w:tblPr>
        <w:tblLayout w:type="fixed"/>
        <w:tblInd w:w="6580" w:type="dxa"/>
        <w:tblCellMar>
          <w:top w:w="0" w:type="dxa"/>
          <w:left w:w="0" w:type="dxa"/>
          <w:bottom w:w="0" w:type="dxa"/>
          <w:right w:w="0" w:type="dxa"/>
        </w:tblCellMar>
      </w:tblPr>
      <w:tr>
        <w:trPr>
          <w:trHeight w:val="233"/>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Erez Alroy</w:t>
            </w:r>
          </w:p>
        </w:tc>
      </w:tr>
      <w:tr>
        <w:trPr>
          <w:trHeight w:val="227"/>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3840" w:type="dxa"/>
            <w:vAlign w:val="bottom"/>
          </w:tcPr>
          <w:p>
            <w:pPr>
              <w:spacing w:after="0"/>
              <w:rPr>
                <w:sz w:val="20"/>
                <w:szCs w:val="20"/>
                <w:color w:val="auto"/>
              </w:rPr>
            </w:pPr>
            <w:r>
              <w:rPr>
                <w:rFonts w:ascii="Times New Roman" w:cs="Times New Roman" w:eastAsia="Times New Roman" w:hAnsi="Times New Roman"/>
                <w:sz w:val="17"/>
                <w:szCs w:val="17"/>
                <w:color w:val="auto"/>
              </w:rPr>
              <w:t>Erez Alroy</w:t>
            </w:r>
          </w:p>
        </w:tc>
      </w:tr>
    </w:tbl>
    <w:p>
      <w:pPr>
        <w:spacing w:after="0" w:line="1" w:lineRule="exact"/>
        <w:rPr>
          <w:sz w:val="20"/>
          <w:szCs w:val="20"/>
          <w:color w:val="auto"/>
        </w:rPr>
      </w:pPr>
    </w:p>
    <w:sectPr>
      <w:pgSz w:w="11900" w:h="16838" w:orient="portrait"/>
      <w:cols w:equalWidth="0" w:num="1">
        <w:col w:w="10980"/>
      </w:cols>
      <w:pgMar w:left="460" w:top="119"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70040" TargetMode="External"/><Relationship Id="rId14" Type="http://schemas.openxmlformats.org/officeDocument/2006/relationships/hyperlink" Target="http://www.sec.gov/cgi-bin/browse-edgar?action=getcompany&amp;CIK=000179525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2026-06-15T15:08:31Z</dcterms:created>
  <dcterms:modified xsi:type="dcterms:W3CDTF">2026-06-15T15:08:31Z</dcterms:modified>
</cp:coreProperties>
</file>