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Meltzer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3"/>
        <w:gridCol w:w="772"/>
        <w:gridCol w:w="600"/>
        <w:gridCol w:w="347"/>
        <w:gridCol w:w="926"/>
        <w:gridCol w:w="449"/>
        <w:gridCol w:w="666"/>
        <w:gridCol w:w="1154"/>
        <w:gridCol w:w="991"/>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0.69</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65,443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wholly owned company</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were purchased by Oud Nof, a company wholly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by the Issuer on February 11,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January 2,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April 16, 2024, and vest and become exercisable in accordance with the following schedule: 25% of the options vested upon the one-year anniversary of the grant, and an additional 6.25% of the options vest on a quarterly basis over the following three years such that all options reported in this row will be fully vested on the four-year anniversary of that grant date (April 16,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67701ex24-1.htm"/>
      <w:bookmarkStart w:id="3" w:name="ksea0305677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590"/>
        <w:gridCol w:w="131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9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1347</Words>
  <Characters>7060</Characters>
  <CharactersWithSpaces>8305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