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Koren Ofir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Manager, ARC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28,283</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28,283</w:t>
            </w:r>
            <w:r>
              <w:rPr>
                <w:rFonts w:ascii="Times;serif" w:hAnsi="Times;serif"/>
                <w:color w:val="008000"/>
                <w:position w:val="7"/>
                <w:sz w:val="16"/>
                <w:sz w:val="20"/>
                <w:shd w:fill="FFFFFF" w:val="clear"/>
              </w:rPr>
              <w:t>(2)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(4)</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39,474</w:t>
            </w:r>
            <w:r>
              <w:rPr>
                <w:rFonts w:ascii="Times;serif" w:hAnsi="Times;serif"/>
                <w:color w:val="008000"/>
                <w:position w:val="7"/>
                <w:sz w:val="16"/>
                <w:sz w:val="20"/>
                <w:shd w:fill="FFFFFF" w:val="clear"/>
              </w:rPr>
              <w:t>(5)</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49.68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01/18/2031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03/28/2032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row consists of the grant by the Issuer's board of directors to the Reporting Person of 28,283 ordinary shares represented by 28,283 restricted share units ("RSUs"), pursuant to the Issuer's 2019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28,283 RSUs reported in this row vest and settle for underlying ordinary shares in four equal semi-annual installments of 25% each following the vesting commencement date of August 13, 2026-- on February 13, 2027, August 13, 2027, February 13, 2028 and August 13, 2028, subject, in each case, to the Reporting Person's continuous employment by the Issuer as of the applicable vesting date, such that by the two-year anniversary of the vesting commencement date (August 13, 2028)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reported in this row consist of shares underlying RSUs that were granted to the Reporting Person by the Issuer on April 16, 2024 and that vest and settle for underlying ordinary shares in 16 equal quarterly installments (each for 6.25% of the RSUs granted) such that by the four-year anniversary of the grant date (April 16, 2028)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ordinary shares reported in this row consist of shares underlying RSUs that were granted to the Reporting Person by the Issuer on February 5, 2026, of which 50% vest and settle for underlying ordinary shares on the 12-month anniversary of the grant date (February 5, 2027) and the remaining 50% on the 24-month anniversary of the grant date (February 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reported in this row were granted to the Reporting Person by the Issuer on January 18, 2021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reported in this row were granted to the Reporting Person by the Issuer on March 28, 2022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options reported in this row were granted to the Reporting Person by the Issuer on May 23, 2023 and vest and become exercisable in 16 equal quarterly installments of 6.25% each on each three-month anniversary of the grant date, such that all options reported in this row will be exercisable by the four-year anniversary of the grant date (May 23,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43402ex24-1.htm"/>
      <w:bookmarkStart w:id="3" w:name="ksea030843402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and her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the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75"/>
        <w:gridCol w:w="590"/>
        <w:gridCol w:w="113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1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Ofir Koren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130" w:type="dxa"/>
            <w:tcBorders/>
            <w:vAlign w:val="center"/>
          </w:tcPr>
          <w:p>
            <w:pPr>
              <w:pStyle w:val="TableContents"/>
              <w:bidi w:val="0"/>
              <w:spacing w:before="0" w:after="283"/>
              <w:jc w:val="left"/>
              <w:rPr>
                <w:sz w:val="20"/>
              </w:rPr>
            </w:pPr>
            <w:r>
              <w:rPr>
                <w:sz w:val="20"/>
              </w:rPr>
              <w:t>Ofir Koren</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1277"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1568</Words>
  <Characters>8222</Characters>
  <CharactersWithSpaces>9681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