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Aharon Cohen Tamar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NANO-X IMAGING LTD., OFER TECH PARK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 SHLOMO SHMELTZER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PETACH TIKVA</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4970602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Nano-X Imaging Ltd.</w:t>
              </w:r>
            </w:hyperlink>
            <w:r>
              <w:rPr/>
              <w:t xml:space="preserve"> [ </w:t>
            </w:r>
            <w:r>
              <w:rPr>
                <w:rFonts w:ascii="Times;serif" w:hAnsi="Times;serif"/>
                <w:color w:val="0000FF"/>
                <w:sz w:val="24"/>
                <w:shd w:fill="FFFFFF" w:val="clear"/>
              </w:rPr>
              <w:t>NNOX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Marketing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8"/>
        <w:gridCol w:w="904"/>
        <w:gridCol w:w="773"/>
        <w:gridCol w:w="600"/>
        <w:gridCol w:w="351"/>
        <w:gridCol w:w="939"/>
        <w:gridCol w:w="463"/>
        <w:gridCol w:w="625"/>
        <w:gridCol w:w="1177"/>
        <w:gridCol w:w="1008"/>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28,283</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28,283</w:t>
            </w:r>
            <w:r>
              <w:rPr>
                <w:rFonts w:ascii="Times;serif" w:hAnsi="Times;serif"/>
                <w:color w:val="008000"/>
                <w:position w:val="7"/>
                <w:sz w:val="16"/>
                <w:sz w:val="20"/>
                <w:shd w:fill="FFFFFF" w:val="clear"/>
              </w:rPr>
              <w:t>(2)</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(3)</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(3)</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39,474</w:t>
            </w:r>
            <w:r>
              <w:rPr>
                <w:rFonts w:ascii="Times;serif" w:hAnsi="Times;serif"/>
                <w:color w:val="008000"/>
                <w:position w:val="7"/>
                <w:sz w:val="16"/>
                <w:sz w:val="20"/>
                <w:shd w:fill="FFFFFF" w:val="clear"/>
              </w:rPr>
              <w:t>(4)</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00"/>
        <w:gridCol w:w="401"/>
        <w:gridCol w:w="906"/>
        <w:gridCol w:w="801"/>
        <w:gridCol w:w="861"/>
        <w:gridCol w:w="801"/>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49.68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01/18/2031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17.63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03/28/2032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17.63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05/16/2032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05/23/2033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in this row consists of the grant by the Issuer's board of directors to the Reporting Person of 28,283 ordinary shares represented by 28,283 restricted share units ("RSUs"), pursuant to the Issuer's 2019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28,283 RSUs reported in this row vest and settle for underlying ordinary shares in four equal semi-annual installments of 25% each following the vesting commencement date of August 13, 2026-- on February 13, 2027, August 13, 2027, February 13, 2028 and August 13, 2028, subject, in each case, to the Reporting Person's continuous employment by the Issuer as of the applicable vesting date, such that by the two-year anniversary of the vesting commencement date (August 13, 2028), all underlying shares will be issued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There were no transactions effected in respect of the securities reported in this row, and the holdings in this row are being included for informational purposes only.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ordinary shares reported in this row consist of shares underlying RSUs that were granted to the Reporting Person by the Issuer on February 5, 2026, of which 50% vest and settle for underlying ordinary shares on the 12-month anniversary of the grant date (February 5, 2027) and the remaining 50% on the 24-month anniversary of the grant date (February 5,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reported in this row were granted to the Reporting Person by the Issuer on January 18, 2021 and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options reported in this row were granted to the Reporting Person by the Issuer on March 28, 2022 and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options reported in this row were granted to the Reporting Person by the Issuer on May 16, 2022 and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options reported in this row were granted to the Reporting Person by the Issuer on May 23, 2023 and vest and become exercisable in 16 equal quarterly installments of 6.25% each on each three-month anniversary of the grant date, such that all options reported in this row will be exercisable by the four-year anniversary of the grant date (May 23,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Marina Gofman Feler,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ea030843401ex24-1.htm"/>
      <w:bookmarkStart w:id="3" w:name="ksea030843401ex241"/>
      <w:bookmarkEnd w:id="2"/>
      <w:bookmarkEnd w:id="3"/>
      <w:r>
        <w:rPr>
          <w:b/>
        </w:rPr>
        <w:t>Exhibit 24.1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Marina Gofman Feler, Chief Legal Officer of Nano-X Imaging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with full power of substitution, signing individually, the undersigned’s true and lawful attorney-in-fact and agent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Forms 3, 4 and 5 (including amendments thereto and joint filing agreements in connection therewith) in accordance with Section 16(a) of the Securities Exchange Act of 1934, as amended and the rules and regulations thereunder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in the undersigned’s capacity as an officer, director or beneficial owner of more than 10% of a registered class of securities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and her substitutes,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the attorney-in-fact individually, until such attorney-in-fact is no longer employed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18th day of March, 2026.</w:t>
      </w:r>
    </w:p>
    <w:p>
      <w:pPr>
        <w:pStyle w:val="TextBody"/>
        <w:bidi w:val="0"/>
        <w:spacing w:before="0" w:after="0"/>
        <w:ind w:left="0" w:right="0" w:firstLine="72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545"/>
        <w:gridCol w:w="201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201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Tamar Aharon Cohen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2015" w:type="dxa"/>
            <w:tcBorders/>
            <w:vAlign w:val="center"/>
          </w:tcPr>
          <w:p>
            <w:pPr>
              <w:pStyle w:val="TableContents"/>
              <w:bidi w:val="0"/>
              <w:spacing w:before="0" w:after="283"/>
              <w:jc w:val="left"/>
              <w:rPr>
                <w:sz w:val="20"/>
              </w:rPr>
            </w:pPr>
            <w:r>
              <w:rPr>
                <w:sz w:val="20"/>
              </w:rPr>
              <w:t>Tamar Aharon Cohen</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9072" TargetMode="External"/><Relationship Id="rId5" Type="http://schemas.openxmlformats.org/officeDocument/2006/relationships/hyperlink" Target="http://www.sec.gov/cgi-bin/browse-edgar?action=getcompany&amp;CIK=00017952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1542</Words>
  <Characters>8086</Characters>
  <CharactersWithSpaces>9512</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